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-208280</wp:posOffset>
            </wp:positionH>
            <wp:positionV relativeFrom="paragraph">
              <wp:posOffset>-76200</wp:posOffset>
            </wp:positionV>
            <wp:extent cx="1939290" cy="65976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659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top"/>
      <w:bookmarkStart w:id="1" w:name="_top"/>
      <w:bookmarkEnd w:id="1"/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15360" w:type="dxa"/>
        <w:jc w:val="left"/>
        <w:tblInd w:w="-30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95"/>
        <w:gridCol w:w="7260"/>
        <w:gridCol w:w="1995"/>
        <w:gridCol w:w="525"/>
        <w:gridCol w:w="855"/>
        <w:gridCol w:w="90"/>
        <w:gridCol w:w="120"/>
        <w:gridCol w:w="1005"/>
        <w:gridCol w:w="150"/>
        <w:gridCol w:w="570"/>
        <w:gridCol w:w="1995"/>
      </w:tblGrid>
      <w:tr>
        <w:trPr>
          <w:trHeight w:val="795" w:hRule="atLeast"/>
        </w:trPr>
        <w:tc>
          <w:tcPr>
            <w:tcW w:w="15360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EFEFEF" w:fill="00B0F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Опросный лист для расчета стоимости</w:t>
              <w:br/>
              <w:t>ПРОЕКТНО-ИЗЫСКАТЕЛЬСКИХ РАБОТ (ПИР)</w:t>
            </w:r>
          </w:p>
        </w:tc>
      </w:tr>
      <w:tr>
        <w:trPr>
          <w:trHeight w:val="375" w:hRule="atLeast"/>
        </w:trPr>
        <w:tc>
          <w:tcPr>
            <w:tcW w:w="15360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*При наличии технического задания на проектирование опросной лист не заполняется</w:t>
            </w:r>
          </w:p>
        </w:tc>
      </w:tr>
      <w:tr>
        <w:trPr>
          <w:trHeight w:val="402" w:hRule="atLeast"/>
        </w:trPr>
        <w:tc>
          <w:tcPr>
            <w:tcW w:w="7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4565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BDD6EE" w:themeFill="accent1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Правила заполнения опросного листа</w:t>
            </w:r>
          </w:p>
        </w:tc>
      </w:tr>
      <w:tr>
        <w:trPr>
          <w:trHeight w:val="691" w:hRule="atLeast"/>
        </w:trPr>
        <w:tc>
          <w:tcPr>
            <w:tcW w:w="7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72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EFEFEF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В соответствующих графах вписать текст, а при возможности выбора – указать заливкой или другим читаемым способом</w:t>
            </w:r>
          </w:p>
        </w:tc>
        <w:tc>
          <w:tcPr>
            <w:tcW w:w="337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color="auto" w:fill="C5E0B3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3930" w:type="dxa"/>
            <w:gridSpan w:val="6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color="EFEFEF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Нет</w:t>
            </w:r>
          </w:p>
        </w:tc>
      </w:tr>
      <w:tr>
        <w:trPr>
          <w:trHeight w:val="418" w:hRule="atLeast"/>
        </w:trPr>
        <w:tc>
          <w:tcPr>
            <w:tcW w:w="7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4565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EFEFEF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Опросной лист заполняется в полном объеме, максимально подробно</w:t>
            </w:r>
          </w:p>
        </w:tc>
      </w:tr>
      <w:tr>
        <w:trPr>
          <w:trHeight w:val="424" w:hRule="atLeast"/>
        </w:trPr>
        <w:tc>
          <w:tcPr>
            <w:tcW w:w="7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4565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EFEFEF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При отсутствии информации и незаполненных графах цена определяется на основании требований градостроительных норм и правил расчета стоимости проектирования.</w:t>
            </w:r>
          </w:p>
        </w:tc>
      </w:tr>
      <w:tr>
        <w:trPr>
          <w:trHeight w:val="424" w:hRule="atLeast"/>
        </w:trPr>
        <w:tc>
          <w:tcPr>
            <w:tcW w:w="7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4565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EFEFEF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Наличие незаполненных граф влияет на достоверность определения стоимости ПИР</w:t>
            </w:r>
          </w:p>
        </w:tc>
      </w:tr>
      <w:tr>
        <w:trPr>
          <w:trHeight w:val="424" w:hRule="atLeast"/>
        </w:trPr>
        <w:tc>
          <w:tcPr>
            <w:tcW w:w="7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4565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EFEFEF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Графы дополнительных данных заполняются при необходимости и при предварительной проработке объекта Заказчиком или Подрядчиком</w:t>
            </w:r>
          </w:p>
        </w:tc>
      </w:tr>
      <w:tr>
        <w:trPr>
          <w:trHeight w:val="375" w:hRule="atLeast"/>
        </w:trPr>
        <w:tc>
          <w:tcPr>
            <w:tcW w:w="15360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22" w:hRule="atLeast"/>
        </w:trPr>
        <w:tc>
          <w:tcPr>
            <w:tcW w:w="7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65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BDD6EE" w:themeFill="accent1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Общие данные</w:t>
            </w:r>
          </w:p>
        </w:tc>
      </w:tr>
      <w:tr>
        <w:trPr>
          <w:trHeight w:val="639" w:hRule="atLeast"/>
        </w:trPr>
        <w:tc>
          <w:tcPr>
            <w:tcW w:w="79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726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  <w:t>Стадия продажи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Отметить соответствующий вариант</w:t>
            </w:r>
          </w:p>
        </w:tc>
        <w:tc>
          <w:tcPr>
            <w:tcW w:w="3465" w:type="dxa"/>
            <w:gridSpan w:val="4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Предварительный сбор КП для формирования бюджета</w:t>
            </w:r>
          </w:p>
        </w:tc>
        <w:tc>
          <w:tcPr>
            <w:tcW w:w="3840" w:type="dxa"/>
            <w:gridSpan w:val="5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Предварительный сбор КП для объявления тендера</w:t>
            </w:r>
          </w:p>
        </w:tc>
      </w:tr>
      <w:tr>
        <w:trPr>
          <w:trHeight w:val="416" w:hRule="atLeast"/>
        </w:trPr>
        <w:tc>
          <w:tcPr>
            <w:tcW w:w="795" w:type="dxa"/>
            <w:vMerge w:val="continue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7260" w:type="dxa"/>
            <w:vMerge w:val="continue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3465" w:type="dxa"/>
            <w:gridSpan w:val="4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Сбор КП в рамках проведения тендера</w:t>
            </w:r>
          </w:p>
        </w:tc>
        <w:tc>
          <w:tcPr>
            <w:tcW w:w="3840" w:type="dxa"/>
            <w:gridSpan w:val="5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Для заключения договора без тендера</w:t>
            </w:r>
          </w:p>
        </w:tc>
      </w:tr>
      <w:tr>
        <w:trPr>
          <w:trHeight w:val="360" w:hRule="atLeast"/>
        </w:trPr>
        <w:tc>
          <w:tcPr>
            <w:tcW w:w="79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726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  <w:t>Наименование заказчика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Указывается с городом. Если сведений совсем нет, то отметить из предложенных. Корпоративный - Газпром, Транснефть, Росатом и другие крупные корпорации)</w:t>
            </w:r>
          </w:p>
        </w:tc>
        <w:tc>
          <w:tcPr>
            <w:tcW w:w="7305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9"/>
                <w:szCs w:val="19"/>
                <w:lang w:eastAsia="ru-RU"/>
              </w:rPr>
            </w:r>
          </w:p>
        </w:tc>
      </w:tr>
      <w:tr>
        <w:trPr>
          <w:trHeight w:val="360" w:hRule="atLeast"/>
        </w:trPr>
        <w:tc>
          <w:tcPr>
            <w:tcW w:w="795" w:type="dxa"/>
            <w:vMerge w:val="continue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7260" w:type="dxa"/>
            <w:vMerge w:val="continue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252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Государственный</w:t>
            </w:r>
          </w:p>
        </w:tc>
        <w:tc>
          <w:tcPr>
            <w:tcW w:w="2220" w:type="dxa"/>
            <w:gridSpan w:val="5"/>
            <w:tcBorders>
              <w:top w:val="single" w:sz="18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Частный</w:t>
            </w:r>
          </w:p>
        </w:tc>
        <w:tc>
          <w:tcPr>
            <w:tcW w:w="2565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Корпоративный</w:t>
            </w:r>
          </w:p>
        </w:tc>
      </w:tr>
      <w:tr>
        <w:trPr>
          <w:trHeight w:val="383" w:hRule="atLeast"/>
        </w:trPr>
        <w:tc>
          <w:tcPr>
            <w:tcW w:w="79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726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  <w:t>Место размещения объекта</w:t>
            </w: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 по возможности предоставить генеральный план или топографическую съемку</w:t>
            </w:r>
            <w:bookmarkStart w:id="2" w:name="_GoBack"/>
            <w:bookmarkEnd w:id="2"/>
          </w:p>
        </w:tc>
        <w:tc>
          <w:tcPr>
            <w:tcW w:w="19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9"/>
                <w:szCs w:val="19"/>
                <w:lang w:eastAsia="ru-RU"/>
              </w:rPr>
            </w:r>
          </w:p>
        </w:tc>
        <w:tc>
          <w:tcPr>
            <w:tcW w:w="1590" w:type="dxa"/>
            <w:gridSpan w:val="4"/>
            <w:tcBorders>
              <w:top w:val="single" w:sz="18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9"/>
                <w:szCs w:val="19"/>
                <w:lang w:eastAsia="ru-RU"/>
              </w:rPr>
            </w:r>
          </w:p>
        </w:tc>
        <w:tc>
          <w:tcPr>
            <w:tcW w:w="1725" w:type="dxa"/>
            <w:gridSpan w:val="3"/>
            <w:tcBorders>
              <w:top w:val="single" w:sz="18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9"/>
                <w:szCs w:val="19"/>
                <w:lang w:eastAsia="ru-RU"/>
              </w:rPr>
            </w:r>
          </w:p>
        </w:tc>
        <w:tc>
          <w:tcPr>
            <w:tcW w:w="1995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9"/>
                <w:szCs w:val="19"/>
                <w:lang w:eastAsia="ru-RU"/>
              </w:rPr>
            </w:r>
          </w:p>
        </w:tc>
      </w:tr>
      <w:tr>
        <w:trPr>
          <w:trHeight w:val="418" w:hRule="atLeast"/>
        </w:trPr>
        <w:tc>
          <w:tcPr>
            <w:tcW w:w="795" w:type="dxa"/>
            <w:vMerge w:val="continue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7260" w:type="dxa"/>
            <w:vMerge w:val="continue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19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9"/>
                <w:szCs w:val="19"/>
                <w:lang w:eastAsia="ru-RU"/>
              </w:rPr>
              <w:t>Страна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(при необходимости)</w:t>
            </w:r>
          </w:p>
        </w:tc>
        <w:tc>
          <w:tcPr>
            <w:tcW w:w="1590" w:type="dxa"/>
            <w:gridSpan w:val="4"/>
            <w:tcBorders>
              <w:top w:val="single" w:sz="18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9"/>
                <w:szCs w:val="19"/>
                <w:lang w:eastAsia="ru-RU"/>
              </w:rPr>
              <w:t>Субъект</w:t>
            </w:r>
          </w:p>
        </w:tc>
        <w:tc>
          <w:tcPr>
            <w:tcW w:w="1725" w:type="dxa"/>
            <w:gridSpan w:val="3"/>
            <w:tcBorders>
              <w:top w:val="single" w:sz="18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9"/>
                <w:szCs w:val="19"/>
                <w:lang w:eastAsia="ru-RU"/>
              </w:rPr>
              <w:t>Город</w:t>
            </w:r>
          </w:p>
        </w:tc>
        <w:tc>
          <w:tcPr>
            <w:tcW w:w="1995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9"/>
                <w:szCs w:val="19"/>
                <w:lang w:eastAsia="ru-RU"/>
              </w:rPr>
              <w:t xml:space="preserve">Улица дом </w:t>
              <w:br/>
            </w: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(по возможности)</w:t>
            </w:r>
          </w:p>
        </w:tc>
      </w:tr>
      <w:tr>
        <w:trPr>
          <w:trHeight w:val="410" w:hRule="atLeast"/>
        </w:trPr>
        <w:tc>
          <w:tcPr>
            <w:tcW w:w="7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72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  <w:t>Наименование объекта проектирования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Например: котельная, склад топлива, ГНС, резервуарная установка СУГ, нефтебаза, АЗС, другое наименование</w:t>
            </w:r>
          </w:p>
        </w:tc>
        <w:tc>
          <w:tcPr>
            <w:tcW w:w="7305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9"/>
                <w:szCs w:val="19"/>
                <w:lang w:eastAsia="ru-RU"/>
              </w:rPr>
            </w:r>
          </w:p>
        </w:tc>
      </w:tr>
      <w:tr>
        <w:trPr>
          <w:trHeight w:val="2550" w:hRule="atLeast"/>
        </w:trPr>
        <w:tc>
          <w:tcPr>
            <w:tcW w:w="7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72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 xml:space="preserve">Основные показатели объекта проектирования: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Например: </w:t>
            </w: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ru-RU"/>
              </w:rPr>
              <w:t>Для котельных</w:t>
            </w: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: блочная/стационарная, мощность, наличие парка топлива; вид топлива (основного/резервного),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ru-RU"/>
              </w:rPr>
              <w:t>Для складов к котельным/ДГУ</w:t>
            </w: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: объем, количество емкостей, вид хранимого вещества;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ru-RU"/>
              </w:rPr>
              <w:t>Для резервуарных установок СУГ</w:t>
            </w: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: объем; количество резервуаров, тип испарителя, мощность испарителя (потребителя);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ru-RU"/>
              </w:rPr>
              <w:t>Для складов и ГНС</w:t>
            </w: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: объем, количество емкостей, вид хранимого вещества, доставка продукции (водным, ж\д,  автомобильным транспортом);</w:t>
            </w:r>
          </w:p>
        </w:tc>
        <w:tc>
          <w:tcPr>
            <w:tcW w:w="7305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72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Вид строительства</w:t>
            </w:r>
          </w:p>
        </w:tc>
        <w:tc>
          <w:tcPr>
            <w:tcW w:w="19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новое</w:t>
            </w:r>
          </w:p>
        </w:tc>
        <w:tc>
          <w:tcPr>
            <w:tcW w:w="1590" w:type="dxa"/>
            <w:gridSpan w:val="4"/>
            <w:tcBorders>
              <w:top w:val="single" w:sz="18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реконструкция</w:t>
            </w:r>
          </w:p>
        </w:tc>
        <w:tc>
          <w:tcPr>
            <w:tcW w:w="1725" w:type="dxa"/>
            <w:gridSpan w:val="3"/>
            <w:tcBorders>
              <w:top w:val="single" w:sz="18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техническое перевооружение</w:t>
            </w:r>
          </w:p>
        </w:tc>
        <w:tc>
          <w:tcPr>
            <w:tcW w:w="1995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определяет Подрядчик</w:t>
            </w:r>
          </w:p>
        </w:tc>
      </w:tr>
      <w:tr>
        <w:trPr>
          <w:trHeight w:val="375" w:hRule="atLeast"/>
        </w:trPr>
        <w:tc>
          <w:tcPr>
            <w:tcW w:w="7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72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Необходимая стадия проектирования</w:t>
            </w:r>
          </w:p>
        </w:tc>
        <w:tc>
          <w:tcPr>
            <w:tcW w:w="3585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Проектная документация</w:t>
            </w:r>
          </w:p>
        </w:tc>
        <w:tc>
          <w:tcPr>
            <w:tcW w:w="3720" w:type="dxa"/>
            <w:gridSpan w:val="4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Рабочая документация</w:t>
            </w:r>
          </w:p>
        </w:tc>
      </w:tr>
      <w:tr>
        <w:trPr>
          <w:trHeight w:val="310" w:hRule="atLeast"/>
        </w:trPr>
        <w:tc>
          <w:tcPr>
            <w:tcW w:w="79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726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Необходимость в инженерных изысканиях:</w:t>
            </w:r>
          </w:p>
        </w:tc>
        <w:tc>
          <w:tcPr>
            <w:tcW w:w="4740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Выполняет Подрядчик</w:t>
            </w:r>
          </w:p>
        </w:tc>
        <w:tc>
          <w:tcPr>
            <w:tcW w:w="2565" w:type="dxa"/>
            <w:gridSpan w:val="2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Предоставляет Заказчик</w:t>
            </w:r>
          </w:p>
        </w:tc>
      </w:tr>
      <w:tr>
        <w:trPr>
          <w:trHeight w:val="310" w:hRule="atLeast"/>
        </w:trPr>
        <w:tc>
          <w:tcPr>
            <w:tcW w:w="795" w:type="dxa"/>
            <w:vMerge w:val="continue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7260" w:type="dxa"/>
            <w:vMerge w:val="continue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52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Есть старые изыскания</w:t>
            </w:r>
          </w:p>
        </w:tc>
        <w:tc>
          <w:tcPr>
            <w:tcW w:w="2220" w:type="dxa"/>
            <w:gridSpan w:val="5"/>
            <w:tcBorders>
              <w:top w:val="single" w:sz="18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Нет старых изысканий</w:t>
            </w:r>
          </w:p>
        </w:tc>
        <w:tc>
          <w:tcPr>
            <w:tcW w:w="2565" w:type="dxa"/>
            <w:gridSpan w:val="2"/>
            <w:vMerge w:val="continue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</w:tr>
      <w:tr>
        <w:trPr>
          <w:trHeight w:val="340" w:hRule="atLeast"/>
        </w:trPr>
        <w:tc>
          <w:tcPr>
            <w:tcW w:w="79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726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Протяженность инженерных коммуникаций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 для подключения объекта в метрах (предварительно)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Например: не требуется/до 50 метров/до 100 метров/ свыше 100 метров указывается конкретная величина</w:t>
            </w:r>
          </w:p>
        </w:tc>
        <w:tc>
          <w:tcPr>
            <w:tcW w:w="3585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Технол. трубопровод</w:t>
            </w:r>
          </w:p>
        </w:tc>
        <w:tc>
          <w:tcPr>
            <w:tcW w:w="3720" w:type="dxa"/>
            <w:gridSpan w:val="4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</w:tr>
      <w:tr>
        <w:trPr>
          <w:trHeight w:val="336" w:hRule="atLeast"/>
        </w:trPr>
        <w:tc>
          <w:tcPr>
            <w:tcW w:w="795" w:type="dxa"/>
            <w:vMerge w:val="continue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7260" w:type="dxa"/>
            <w:vMerge w:val="continue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3585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Газопровод</w:t>
            </w:r>
          </w:p>
        </w:tc>
        <w:tc>
          <w:tcPr>
            <w:tcW w:w="3720" w:type="dxa"/>
            <w:gridSpan w:val="4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</w:tr>
      <w:tr>
        <w:trPr>
          <w:trHeight w:val="336" w:hRule="atLeast"/>
        </w:trPr>
        <w:tc>
          <w:tcPr>
            <w:tcW w:w="795" w:type="dxa"/>
            <w:vMerge w:val="continue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7260" w:type="dxa"/>
            <w:vMerge w:val="continue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3585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Электрические сети</w:t>
            </w:r>
          </w:p>
        </w:tc>
        <w:tc>
          <w:tcPr>
            <w:tcW w:w="3720" w:type="dxa"/>
            <w:gridSpan w:val="4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</w:tr>
      <w:tr>
        <w:trPr>
          <w:trHeight w:val="336" w:hRule="atLeast"/>
        </w:trPr>
        <w:tc>
          <w:tcPr>
            <w:tcW w:w="795" w:type="dxa"/>
            <w:vMerge w:val="continue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7260" w:type="dxa"/>
            <w:vMerge w:val="continue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3585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Водопровод, ХВС/ГВС</w:t>
            </w:r>
          </w:p>
        </w:tc>
        <w:tc>
          <w:tcPr>
            <w:tcW w:w="3720" w:type="dxa"/>
            <w:gridSpan w:val="4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/</w:t>
            </w:r>
          </w:p>
        </w:tc>
      </w:tr>
      <w:tr>
        <w:trPr>
          <w:trHeight w:val="336" w:hRule="atLeast"/>
        </w:trPr>
        <w:tc>
          <w:tcPr>
            <w:tcW w:w="795" w:type="dxa"/>
            <w:vMerge w:val="continue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7260" w:type="dxa"/>
            <w:vMerge w:val="continue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3585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Канализация</w:t>
            </w:r>
          </w:p>
        </w:tc>
        <w:tc>
          <w:tcPr>
            <w:tcW w:w="3720" w:type="dxa"/>
            <w:gridSpan w:val="4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</w:tr>
      <w:tr>
        <w:trPr>
          <w:trHeight w:val="280" w:hRule="atLeast"/>
        </w:trPr>
        <w:tc>
          <w:tcPr>
            <w:tcW w:w="795" w:type="dxa"/>
            <w:vMerge w:val="continue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7260" w:type="dxa"/>
            <w:vMerge w:val="continue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3585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Тепловая сеть</w:t>
            </w:r>
          </w:p>
        </w:tc>
        <w:tc>
          <w:tcPr>
            <w:tcW w:w="3720" w:type="dxa"/>
            <w:gridSpan w:val="4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</w:tr>
      <w:tr>
        <w:trPr>
          <w:trHeight w:val="280" w:hRule="atLeast"/>
        </w:trPr>
        <w:tc>
          <w:tcPr>
            <w:tcW w:w="795" w:type="dxa"/>
            <w:vMerge w:val="continue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7260" w:type="dxa"/>
            <w:vMerge w:val="continue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3585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Сети связи</w:t>
            </w:r>
          </w:p>
        </w:tc>
        <w:tc>
          <w:tcPr>
            <w:tcW w:w="3720" w:type="dxa"/>
            <w:gridSpan w:val="4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</w:tr>
      <w:tr>
        <w:trPr>
          <w:trHeight w:val="444" w:hRule="atLeast"/>
        </w:trPr>
        <w:tc>
          <w:tcPr>
            <w:tcW w:w="7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72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Источник финансирования строительства</w:t>
            </w:r>
          </w:p>
        </w:tc>
        <w:tc>
          <w:tcPr>
            <w:tcW w:w="3585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 участием бюджетных средств</w:t>
            </w:r>
          </w:p>
        </w:tc>
        <w:tc>
          <w:tcPr>
            <w:tcW w:w="3720" w:type="dxa"/>
            <w:gridSpan w:val="4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Частные средства Заказчика</w:t>
            </w:r>
          </w:p>
        </w:tc>
      </w:tr>
      <w:tr>
        <w:trPr>
          <w:trHeight w:val="444" w:hRule="atLeast"/>
        </w:trPr>
        <w:tc>
          <w:tcPr>
            <w:tcW w:w="7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72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Кто оплачивает экспертизу проекта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 (при необходимости)</w:t>
            </w:r>
          </w:p>
        </w:tc>
        <w:tc>
          <w:tcPr>
            <w:tcW w:w="3585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Подрядчик</w:t>
            </w:r>
          </w:p>
        </w:tc>
        <w:tc>
          <w:tcPr>
            <w:tcW w:w="3720" w:type="dxa"/>
            <w:gridSpan w:val="4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Заказчик</w:t>
            </w:r>
          </w:p>
        </w:tc>
      </w:tr>
      <w:tr>
        <w:trPr>
          <w:trHeight w:val="317" w:hRule="atLeast"/>
        </w:trPr>
        <w:tc>
          <w:tcPr>
            <w:tcW w:w="79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726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Контактный телефон Заказчика</w:t>
            </w:r>
          </w:p>
        </w:tc>
        <w:tc>
          <w:tcPr>
            <w:tcW w:w="4590" w:type="dxa"/>
            <w:gridSpan w:val="6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715" w:type="dxa"/>
            <w:gridSpan w:val="3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</w:tr>
      <w:tr>
        <w:trPr>
          <w:trHeight w:val="317" w:hRule="atLeast"/>
        </w:trPr>
        <w:tc>
          <w:tcPr>
            <w:tcW w:w="795" w:type="dxa"/>
            <w:vMerge w:val="continue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7260" w:type="dxa"/>
            <w:vMerge w:val="continue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</w:r>
          </w:p>
        </w:tc>
        <w:tc>
          <w:tcPr>
            <w:tcW w:w="4590" w:type="dxa"/>
            <w:gridSpan w:val="6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ФИО</w:t>
            </w:r>
          </w:p>
        </w:tc>
        <w:tc>
          <w:tcPr>
            <w:tcW w:w="2715" w:type="dxa"/>
            <w:gridSpan w:val="3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Телефон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highlight w:val="cyan"/>
        </w:rPr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  <w:highlight w:val="cyan"/>
        </w:rPr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  <w:highlight w:val="cyan"/>
        </w:rPr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  <w:highlight w:val="cyan"/>
        </w:rPr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  <w:highlight w:val="cyan"/>
        </w:rPr>
      </w:pPr>
      <w:r>
        <w:rPr/>
      </w:r>
    </w:p>
    <w:p>
      <w:pPr>
        <w:pStyle w:val="Normal"/>
        <w:rPr/>
      </w:pPr>
      <w:r>
        <w:rPr>
          <w:rFonts w:cs="Times New Roman" w:ascii="Times New Roman" w:hAnsi="Times New Roman"/>
          <w:b/>
          <w:highlight w:val="cyan"/>
        </w:rPr>
        <w:t>ЗАПОЛНЯЕТСЯ ПРИ НЕОБХОДИМОСТИ!</w:t>
      </w:r>
    </w:p>
    <w:tbl>
      <w:tblPr>
        <w:tblW w:w="15405" w:type="dxa"/>
        <w:jc w:val="left"/>
        <w:tblInd w:w="-38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0"/>
        <w:gridCol w:w="5835"/>
        <w:gridCol w:w="3900"/>
        <w:gridCol w:w="4770"/>
      </w:tblGrid>
      <w:tr>
        <w:trPr>
          <w:trHeight w:val="444" w:hRule="atLeast"/>
        </w:trPr>
        <w:tc>
          <w:tcPr>
            <w:tcW w:w="9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450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BDD6EE" w:themeFill="accent1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Дополнительные данные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(заполняются при необходимости компетентными специалистами Подрядчика или Заказчика)</w:t>
            </w:r>
          </w:p>
        </w:tc>
      </w:tr>
      <w:tr>
        <w:trPr>
          <w:trHeight w:val="444" w:hRule="atLeast"/>
        </w:trPr>
        <w:tc>
          <w:tcPr>
            <w:tcW w:w="9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58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Наименование</w:t>
            </w:r>
          </w:p>
        </w:tc>
        <w:tc>
          <w:tcPr>
            <w:tcW w:w="39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Условие по умолчанию</w:t>
            </w:r>
          </w:p>
        </w:tc>
        <w:tc>
          <w:tcPr>
            <w:tcW w:w="4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Вариант Заказчика</w:t>
            </w:r>
          </w:p>
        </w:tc>
      </w:tr>
      <w:tr>
        <w:trPr>
          <w:trHeight w:val="444" w:hRule="atLeast"/>
        </w:trPr>
        <w:tc>
          <w:tcPr>
            <w:tcW w:w="9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58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Требования к составу проекта</w:t>
            </w:r>
          </w:p>
        </w:tc>
        <w:tc>
          <w:tcPr>
            <w:tcW w:w="39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 соответствии с 87 ПП РФ, кроме сметной документации</w:t>
            </w:r>
          </w:p>
        </w:tc>
        <w:tc>
          <w:tcPr>
            <w:tcW w:w="4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</w:tr>
      <w:tr>
        <w:trPr>
          <w:trHeight w:val="444" w:hRule="atLeast"/>
        </w:trPr>
        <w:tc>
          <w:tcPr>
            <w:tcW w:w="9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58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Наличие иной документации по требованию Заказчика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Например: антитеррористические мероприятия, декларация промышленной безопасности, сборно-заказные спецификации, ОВОС, электромагнитная совместимость и др.</w:t>
            </w:r>
          </w:p>
        </w:tc>
        <w:tc>
          <w:tcPr>
            <w:tcW w:w="39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Не требуется</w:t>
            </w:r>
          </w:p>
        </w:tc>
        <w:tc>
          <w:tcPr>
            <w:tcW w:w="4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</w:tr>
      <w:tr>
        <w:trPr>
          <w:trHeight w:val="444" w:hRule="atLeast"/>
        </w:trPr>
        <w:tc>
          <w:tcPr>
            <w:tcW w:w="9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58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Требования к изысканиям (при выполнении Подрядчиком)</w:t>
            </w:r>
          </w:p>
        </w:tc>
        <w:tc>
          <w:tcPr>
            <w:tcW w:w="39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Геодезические и геологические изыскания (гидрометеорологические, экологические и археологические и др. по дополнительному требованию)</w:t>
            </w:r>
          </w:p>
        </w:tc>
        <w:tc>
          <w:tcPr>
            <w:tcW w:w="4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</w:tr>
      <w:tr>
        <w:trPr>
          <w:trHeight w:val="444" w:hRule="atLeast"/>
        </w:trPr>
        <w:tc>
          <w:tcPr>
            <w:tcW w:w="9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58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Сбор исходно-разрешительной документации</w:t>
            </w:r>
          </w:p>
        </w:tc>
        <w:tc>
          <w:tcPr>
            <w:tcW w:w="39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 соответствие с градостроительными нормами предоставляет Заказчик</w:t>
            </w:r>
          </w:p>
        </w:tc>
        <w:tc>
          <w:tcPr>
            <w:tcW w:w="4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</w:tr>
      <w:tr>
        <w:trPr>
          <w:trHeight w:val="444" w:hRule="atLeast"/>
        </w:trPr>
        <w:tc>
          <w:tcPr>
            <w:tcW w:w="9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58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Потребность в дополнительной инфраструктуры объекта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Например: операторная, пожарные насосные и резервуары, бытовые корпуса, ремонтно-слесарные участки, подъездные автомобильные и железные дороги, трансформаторные подстанции, очистные сооружения и др.</w:t>
            </w:r>
          </w:p>
        </w:tc>
        <w:tc>
          <w:tcPr>
            <w:tcW w:w="39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Необходимый минимум зданий и сооружений без подъездной автодороги к предприятию</w:t>
            </w:r>
          </w:p>
        </w:tc>
        <w:tc>
          <w:tcPr>
            <w:tcW w:w="4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</w:tr>
      <w:tr>
        <w:trPr>
          <w:trHeight w:val="444" w:hRule="atLeast"/>
        </w:trPr>
        <w:tc>
          <w:tcPr>
            <w:tcW w:w="9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58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Необходимость в обследовании зданий и сооружений или в предпроектном обследовании объекта</w:t>
            </w:r>
          </w:p>
        </w:tc>
        <w:tc>
          <w:tcPr>
            <w:tcW w:w="39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Не требуется</w:t>
            </w:r>
          </w:p>
        </w:tc>
        <w:tc>
          <w:tcPr>
            <w:tcW w:w="4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</w:tr>
      <w:tr>
        <w:trPr>
          <w:trHeight w:val="444" w:hRule="atLeast"/>
        </w:trPr>
        <w:tc>
          <w:tcPr>
            <w:tcW w:w="9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58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Дополнительные требования к архитектурным и строительным решениям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Например: тип фундамента, вид ограждающих конструкций, конструктивная схема, требования к цветам окраски фасадов и др.</w:t>
            </w:r>
          </w:p>
        </w:tc>
        <w:tc>
          <w:tcPr>
            <w:tcW w:w="39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Стандартные в соответствие с требованиями норм на усмотрение Подрядчика</w:t>
            </w:r>
          </w:p>
        </w:tc>
        <w:tc>
          <w:tcPr>
            <w:tcW w:w="4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</w:tr>
      <w:tr>
        <w:trPr>
          <w:trHeight w:val="444" w:hRule="atLeast"/>
        </w:trPr>
        <w:tc>
          <w:tcPr>
            <w:tcW w:w="9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58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Дополнительные требования к инженерным системам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Например: материал трубопровода, способ прокладки и др.</w:t>
            </w:r>
          </w:p>
        </w:tc>
        <w:tc>
          <w:tcPr>
            <w:tcW w:w="39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Стандартные в соответствие с требованиями норм на усмотрение Подрядчика</w:t>
            </w:r>
          </w:p>
        </w:tc>
        <w:tc>
          <w:tcPr>
            <w:tcW w:w="4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</w:tr>
      <w:tr>
        <w:trPr>
          <w:trHeight w:val="444" w:hRule="atLeast"/>
        </w:trPr>
        <w:tc>
          <w:tcPr>
            <w:tcW w:w="9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58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 xml:space="preserve">Требования к АСУ ТП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Например: степень автоматизации, тип сигналов, интеграция с существующей АСУ ТП и др.</w:t>
            </w:r>
          </w:p>
        </w:tc>
        <w:tc>
          <w:tcPr>
            <w:tcW w:w="39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Стандартные в соответствие с требованиями норм на усмотрение Подрядчика</w:t>
            </w:r>
          </w:p>
        </w:tc>
        <w:tc>
          <w:tcPr>
            <w:tcW w:w="4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</w:tr>
      <w:tr>
        <w:trPr>
          <w:trHeight w:val="444" w:hRule="atLeast"/>
        </w:trPr>
        <w:tc>
          <w:tcPr>
            <w:tcW w:w="9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58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 xml:space="preserve">Необходимость в дополнительных инженерных системах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Например:</w:t>
            </w: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система автоматического пожаротушения, видеонаблюдение, АСКУЭ, АСТУЭ, система контроля доступом, </w:t>
            </w:r>
          </w:p>
        </w:tc>
        <w:tc>
          <w:tcPr>
            <w:tcW w:w="39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Не требуется</w:t>
            </w:r>
          </w:p>
        </w:tc>
        <w:tc>
          <w:tcPr>
            <w:tcW w:w="4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</w:tr>
      <w:tr>
        <w:trPr>
          <w:trHeight w:val="147" w:hRule="atLeast"/>
        </w:trPr>
        <w:tc>
          <w:tcPr>
            <w:tcW w:w="9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58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Язык разработки документации</w:t>
            </w:r>
          </w:p>
        </w:tc>
        <w:tc>
          <w:tcPr>
            <w:tcW w:w="39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Русский</w:t>
            </w:r>
          </w:p>
        </w:tc>
        <w:tc>
          <w:tcPr>
            <w:tcW w:w="4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</w:tr>
    </w:tbl>
    <w:p>
      <w:pPr>
        <w:pStyle w:val="Normal"/>
        <w:spacing w:before="0" w:after="160"/>
        <w:rPr/>
      </w:pPr>
      <w:r>
        <w:rPr/>
      </w:r>
    </w:p>
    <w:sectPr>
      <w:type w:val="nextPage"/>
      <w:pgSz w:orient="landscape" w:w="16838" w:h="11906"/>
      <w:pgMar w:left="1134" w:right="1134" w:header="0" w:top="426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73483"/>
    <w:rPr>
      <w:sz w:val="16"/>
      <w:szCs w:val="16"/>
    </w:rPr>
  </w:style>
  <w:style w:type="character" w:styleId="Style14" w:customStyle="1">
    <w:name w:val="Текст примечания Знак"/>
    <w:basedOn w:val="DefaultParagraphFont"/>
    <w:link w:val="a4"/>
    <w:uiPriority w:val="99"/>
    <w:semiHidden/>
    <w:qFormat/>
    <w:rsid w:val="00073483"/>
    <w:rPr>
      <w:sz w:val="20"/>
      <w:szCs w:val="20"/>
    </w:rPr>
  </w:style>
  <w:style w:type="character" w:styleId="Style15" w:customStyle="1">
    <w:name w:val="Тема примечания Знак"/>
    <w:basedOn w:val="Style14"/>
    <w:link w:val="a6"/>
    <w:uiPriority w:val="99"/>
    <w:semiHidden/>
    <w:qFormat/>
    <w:rsid w:val="00073483"/>
    <w:rPr>
      <w:b/>
      <w:bCs/>
      <w:sz w:val="20"/>
      <w:szCs w:val="20"/>
    </w:rPr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073483"/>
    <w:rPr>
      <w:rFonts w:ascii="Tahoma" w:hAnsi="Tahoma" w:cs="Tahoma"/>
      <w:sz w:val="16"/>
      <w:szCs w:val="16"/>
    </w:rPr>
  </w:style>
  <w:style w:type="character" w:styleId="Style17">
    <w:name w:val="Интернет-ссылка"/>
    <w:basedOn w:val="DefaultParagraphFont"/>
    <w:uiPriority w:val="99"/>
    <w:unhideWhenUsed/>
    <w:rsid w:val="00fb13c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fb13c7"/>
    <w:rPr>
      <w:color w:val="954F72" w:themeColor="followedHyperlink"/>
      <w:u w:val="single"/>
    </w:rPr>
  </w:style>
  <w:style w:type="character" w:styleId="Style18" w:customStyle="1">
    <w:name w:val="Текст концевой сноски Знак"/>
    <w:basedOn w:val="DefaultParagraphFont"/>
    <w:link w:val="ac"/>
    <w:uiPriority w:val="99"/>
    <w:semiHidden/>
    <w:qFormat/>
    <w:rsid w:val="00e42686"/>
    <w:rPr>
      <w:sz w:val="20"/>
      <w:szCs w:val="20"/>
    </w:rPr>
  </w:style>
  <w:style w:type="character" w:styleId="Style19">
    <w:name w:val="Привязка концевой сноски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e42686"/>
    <w:rPr>
      <w:vertAlign w:val="superscript"/>
    </w:rPr>
  </w:style>
  <w:style w:type="character" w:styleId="Style20" w:customStyle="1">
    <w:name w:val="Текст сноски Знак"/>
    <w:basedOn w:val="DefaultParagraphFont"/>
    <w:link w:val="af"/>
    <w:uiPriority w:val="99"/>
    <w:semiHidden/>
    <w:qFormat/>
    <w:rsid w:val="00e42686"/>
    <w:rPr>
      <w:sz w:val="20"/>
      <w:szCs w:val="20"/>
    </w:rPr>
  </w:style>
  <w:style w:type="character" w:styleId="Style21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e42686"/>
    <w:rPr>
      <w:vertAlign w:val="superscript"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>
      <w:rFonts w:cs="Lucida Sans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Lucida Sans"/>
    </w:rPr>
  </w:style>
  <w:style w:type="paragraph" w:styleId="Annotationtext">
    <w:name w:val="annotation text"/>
    <w:basedOn w:val="Normal"/>
    <w:link w:val="a5"/>
    <w:uiPriority w:val="99"/>
    <w:semiHidden/>
    <w:unhideWhenUsed/>
    <w:qFormat/>
    <w:rsid w:val="0007348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7"/>
    <w:uiPriority w:val="99"/>
    <w:semiHidden/>
    <w:unhideWhenUsed/>
    <w:qFormat/>
    <w:rsid w:val="00073483"/>
    <w:pPr/>
    <w:rPr>
      <w:b/>
      <w:bCs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07348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7">
    <w:name w:val="Endnote Text"/>
    <w:basedOn w:val="Normal"/>
    <w:link w:val="ad"/>
    <w:uiPriority w:val="99"/>
    <w:semiHidden/>
    <w:unhideWhenUsed/>
    <w:rsid w:val="00e42686"/>
    <w:pPr>
      <w:spacing w:lineRule="auto" w:line="240" w:before="0" w:after="0"/>
    </w:pPr>
    <w:rPr>
      <w:sz w:val="20"/>
      <w:szCs w:val="20"/>
    </w:rPr>
  </w:style>
  <w:style w:type="paragraph" w:styleId="Style28">
    <w:name w:val="Footnote Text"/>
    <w:basedOn w:val="Normal"/>
    <w:link w:val="af0"/>
    <w:uiPriority w:val="99"/>
    <w:semiHidden/>
    <w:unhideWhenUsed/>
    <w:rsid w:val="00e42686"/>
    <w:pPr>
      <w:spacing w:lineRule="auto" w:line="240" w:before="0" w:after="0"/>
    </w:pPr>
    <w:rPr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e42686"/>
    <w:pPr>
      <w:spacing w:lineRule="auto" w:line="240" w:before="0" w:after="200"/>
    </w:pPr>
    <w:rPr>
      <w:b/>
      <w:bCs/>
      <w:color w:val="5B9BD5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ec04b5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Report</b:SourceType>
    <b:Guid>{DB7ED9A4-4612-4AC6-BE7A-D26C37020D8E}</b:Guid>
    <b:RefOrder>1</b:RefOrder>
  </b:Source>
</b:Sources>
</file>

<file path=customXml/itemProps1.xml><?xml version="1.0" encoding="utf-8"?>
<ds:datastoreItem xmlns:ds="http://schemas.openxmlformats.org/officeDocument/2006/customXml" ds:itemID="{0D7025AC-BC30-4990-8DD4-351647F34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1621</TotalTime>
  <Application>LibreOffice/6.2.1.2$Windows_X86_64 LibreOffice_project/7bcb35dc3024a62dea0caee87020152d1ee96e71</Application>
  <Pages>3</Pages>
  <Words>588</Words>
  <Characters>4364</Characters>
  <CharactersWithSpaces>4822</CharactersWithSpaces>
  <Paragraphs>143</Paragraphs>
  <Company>пк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2017-01-21T18:45:00Z</dcterms:created>
  <dc:creator>Голик Сергей Сергеевич</dc:creator>
  <dc:description>Указывается с городом. Если сведений совсем нет, то государственный заказчик\частный закачзик\ корпоративный заказчик (газпром, транснефть, росатом и прочие)</dc:description>
  <dc:language>ru-RU</dc:language>
  <cp:lastModifiedBy/>
  <cp:lastPrinted>2018-08-24T11:36:00Z</cp:lastPrinted>
  <dcterms:modified xsi:type="dcterms:W3CDTF">2022-10-19T08:21:26Z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Base Target">
    <vt:lpwstr>_blank</vt:lpwstr>
  </property>
  <property fmtid="{D5CDD505-2E9C-101B-9397-08002B2CF9AE}" pid="4" name="Company">
    <vt:lpwstr>пк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